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D7" w:rsidRDefault="001F22D7" w:rsidP="001F22D7">
      <w:pPr>
        <w:jc w:val="center"/>
        <w:rPr>
          <w:rFonts w:ascii="Arial CYR" w:eastAsia="Times New Roman" w:hAnsi="Arial CYR" w:cs="Arial CYR"/>
          <w:b/>
          <w:sz w:val="24"/>
          <w:szCs w:val="24"/>
          <w:lang w:eastAsia="ru-RU"/>
        </w:rPr>
      </w:pPr>
      <w:r>
        <w:rPr>
          <w:rFonts w:ascii="Arial CYR" w:eastAsia="Times New Roman" w:hAnsi="Arial CYR" w:cs="Arial CYR"/>
          <w:b/>
          <w:sz w:val="24"/>
          <w:szCs w:val="24"/>
          <w:lang w:eastAsia="ru-RU"/>
        </w:rPr>
        <w:t>Постанови  Кабінету Міністрів України про затвердження Технічних регламентів</w:t>
      </w:r>
    </w:p>
    <w:p w:rsidR="001F22D7" w:rsidRDefault="001F22D7" w:rsidP="00B476D5">
      <w:pPr>
        <w:ind w:right="-141"/>
        <w:jc w:val="center"/>
        <w:rPr>
          <w:b/>
          <w:sz w:val="24"/>
          <w:szCs w:val="24"/>
        </w:rPr>
      </w:pPr>
      <w:r>
        <w:rPr>
          <w:rFonts w:ascii="Arial CYR" w:eastAsia="Times New Roman" w:hAnsi="Arial CYR" w:cs="Arial CYR"/>
          <w:b/>
          <w:sz w:val="24"/>
          <w:szCs w:val="24"/>
          <w:lang w:eastAsia="ru-RU"/>
        </w:rPr>
        <w:t>Станом на 01.0</w:t>
      </w:r>
      <w:r>
        <w:rPr>
          <w:rFonts w:ascii="Arial CYR" w:eastAsia="Times New Roman" w:hAnsi="Arial CYR" w:cs="Arial CYR"/>
          <w:b/>
          <w:sz w:val="24"/>
          <w:szCs w:val="24"/>
          <w:lang w:eastAsia="ru-RU"/>
        </w:rPr>
        <w:t>1</w:t>
      </w:r>
      <w:r>
        <w:rPr>
          <w:rFonts w:ascii="Arial CYR" w:eastAsia="Times New Roman" w:hAnsi="Arial CYR" w:cs="Arial CYR"/>
          <w:b/>
          <w:sz w:val="24"/>
          <w:szCs w:val="24"/>
          <w:lang w:eastAsia="ru-RU"/>
        </w:rPr>
        <w:t>.201</w:t>
      </w:r>
      <w:r>
        <w:rPr>
          <w:rFonts w:ascii="Arial CYR" w:eastAsia="Times New Roman" w:hAnsi="Arial CYR" w:cs="Arial CYR"/>
          <w:b/>
          <w:sz w:val="24"/>
          <w:szCs w:val="24"/>
          <w:lang w:eastAsia="ru-RU"/>
        </w:rPr>
        <w:t>6 прийнято 68 документів</w:t>
      </w:r>
      <w:bookmarkStart w:id="0" w:name="_GoBack"/>
      <w:bookmarkEnd w:id="0"/>
      <w:r>
        <w:rPr>
          <w:rFonts w:ascii="Arial CYR" w:eastAsia="Times New Roman" w:hAnsi="Arial CYR" w:cs="Arial CYR"/>
          <w:b/>
          <w:sz w:val="24"/>
          <w:szCs w:val="24"/>
          <w:lang w:eastAsia="ru-RU"/>
        </w:rPr>
        <w:t>.</w:t>
      </w:r>
    </w:p>
    <w:p w:rsidR="00785879" w:rsidRDefault="00785879" w:rsidP="001F22D7"/>
    <w:p w:rsidR="001F22D7" w:rsidRPr="001F22D7" w:rsidRDefault="001F22D7" w:rsidP="001F22D7">
      <w:pPr>
        <w:numPr>
          <w:ilvl w:val="0"/>
          <w:numId w:val="1"/>
        </w:numPr>
        <w:spacing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934F873" wp14:editId="202C0B60">
            <wp:extent cx="224790" cy="224790"/>
            <wp:effectExtent l="0" t="0" r="3810" b="3810"/>
            <wp:docPr id="50" name="Рисунок 50"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7" w:tgtFrame="_blank" w:history="1">
        <w:r w:rsidRPr="001F22D7">
          <w:rPr>
            <w:rFonts w:ascii="Arial CYR" w:eastAsia="Times New Roman" w:hAnsi="Arial CYR" w:cs="Arial CYR"/>
            <w:color w:val="990000"/>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990000"/>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990000"/>
            <w:sz w:val="20"/>
            <w:szCs w:val="20"/>
            <w:lang w:eastAsia="uk-UA"/>
          </w:rPr>
          <w:t xml:space="preserve"> з електромагнітної сумісності обладнання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Декларація, Форма типового документа, Перелік</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16.12.2015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1077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54BD332C" wp14:editId="7960FBE4">
            <wp:extent cx="224790" cy="224790"/>
            <wp:effectExtent l="0" t="0" r="3810" b="3810"/>
            <wp:docPr id="49" name="Рисунок 49"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8" w:tgtFrame="_blank" w:history="1">
        <w:r w:rsidRPr="001F22D7">
          <w:rPr>
            <w:rFonts w:ascii="Arial CYR" w:eastAsia="Times New Roman" w:hAnsi="Arial CYR" w:cs="Arial CYR"/>
            <w:color w:val="990000"/>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990000"/>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990000"/>
            <w:sz w:val="20"/>
            <w:szCs w:val="20"/>
            <w:lang w:eastAsia="uk-UA"/>
          </w:rPr>
          <w:t xml:space="preserve"> щодо неавтоматичних зважувальних приладів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Перелік</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16.12.2015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1062</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8AC6306" wp14:editId="285FA723">
            <wp:extent cx="224790" cy="224790"/>
            <wp:effectExtent l="0" t="0" r="3810" b="3810"/>
            <wp:docPr id="48" name="Рисунок 48"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9" w:tgtFrame="_blank" w:history="1">
        <w:r w:rsidRPr="001F22D7">
          <w:rPr>
            <w:rFonts w:ascii="Arial CYR" w:eastAsia="Times New Roman" w:hAnsi="Arial CYR" w:cs="Arial CYR"/>
            <w:color w:val="990000"/>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990000"/>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990000"/>
            <w:sz w:val="20"/>
            <w:szCs w:val="20"/>
            <w:lang w:eastAsia="uk-UA"/>
          </w:rPr>
          <w:t xml:space="preserve"> низьковольтного електричного обладнання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Перелік</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16.12.2015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1067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89BA7E7" wp14:editId="06853FFC">
            <wp:extent cx="224790" cy="224790"/>
            <wp:effectExtent l="0" t="0" r="3810" b="3810"/>
            <wp:docPr id="47" name="Рисунок 47"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0" w:tgtFrame="_blank" w:history="1">
        <w:r w:rsidRPr="001F22D7">
          <w:rPr>
            <w:rFonts w:ascii="Arial CYR" w:eastAsia="Times New Roman" w:hAnsi="Arial CYR" w:cs="Arial CYR"/>
            <w:color w:val="990000"/>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990000"/>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990000"/>
            <w:sz w:val="20"/>
            <w:szCs w:val="20"/>
            <w:lang w:eastAsia="uk-UA"/>
          </w:rPr>
          <w:t xml:space="preserve"> щодо пляшок, які використовуються як мірні ємності</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Порядок</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19.08.2015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607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0F44BC9" wp14:editId="770C426C">
            <wp:extent cx="224790" cy="224790"/>
            <wp:effectExtent l="0" t="0" r="3810" b="3810"/>
            <wp:docPr id="46" name="Рисунок 46"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1" w:tgtFrame="_blank" w:history="1">
        <w:r w:rsidRPr="001F22D7">
          <w:rPr>
            <w:rFonts w:ascii="Arial CYR" w:eastAsia="Times New Roman" w:hAnsi="Arial CYR" w:cs="Arial CYR"/>
            <w:color w:val="990000"/>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990000"/>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990000"/>
            <w:sz w:val="20"/>
            <w:szCs w:val="20"/>
            <w:lang w:eastAsia="uk-UA"/>
          </w:rPr>
          <w:t xml:space="preserve"> енергетичного маркування побутових посудомийних машин</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Інформація, Порядок,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17.07.2015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514</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C5D125C" wp14:editId="09962745">
            <wp:extent cx="224790" cy="224790"/>
            <wp:effectExtent l="0" t="0" r="3810" b="3810"/>
            <wp:docPr id="45" name="Рисунок 45"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2" w:tgtFrame="_blank" w:history="1">
        <w:r w:rsidRPr="001F22D7">
          <w:rPr>
            <w:rFonts w:ascii="Arial CYR" w:eastAsia="Times New Roman" w:hAnsi="Arial CYR" w:cs="Arial CYR"/>
            <w:color w:val="0000CC"/>
            <w:sz w:val="20"/>
            <w:szCs w:val="20"/>
            <w:lang w:eastAsia="uk-UA"/>
          </w:rPr>
          <w:t xml:space="preserve">Про внесення зміни до пункту 2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вимог до автомобільних бензинів, дизельного, суднових та котельних палив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04.06.2015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391</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06D3F5B" wp14:editId="5A24763A">
            <wp:extent cx="224790" cy="224790"/>
            <wp:effectExtent l="0" t="0" r="3810" b="3810"/>
            <wp:docPr id="44" name="Рисунок 44"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3"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енергетичного маркування електричних ламп та світильників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Інформація, Порядок,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27.05.2015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340</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3D865B0" wp14:editId="5FC1E9E0">
            <wp:extent cx="224790" cy="224790"/>
            <wp:effectExtent l="0" t="0" r="3810" b="3810"/>
            <wp:docPr id="43" name="Рисунок 43"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4" w:tgtFrame="_blank" w:history="1">
        <w:r w:rsidRPr="001F22D7">
          <w:rPr>
            <w:rFonts w:ascii="Arial CYR" w:eastAsia="Times New Roman" w:hAnsi="Arial CYR" w:cs="Arial CYR"/>
            <w:color w:val="0000CC"/>
            <w:sz w:val="20"/>
            <w:szCs w:val="20"/>
            <w:lang w:eastAsia="uk-UA"/>
          </w:rPr>
          <w:t xml:space="preserve">Про внесення зміни до пункту 16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радіообладнання і телекомунікаційного кінцевого (термінального) обладнання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08.04.2015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181</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D362785" wp14:editId="1196D76F">
            <wp:extent cx="224790" cy="224790"/>
            <wp:effectExtent l="0" t="0" r="3810" b="3810"/>
            <wp:docPr id="42" name="Рисунок 42"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5" w:tgtFrame="_blank" w:history="1">
        <w:r w:rsidRPr="001F22D7">
          <w:rPr>
            <w:rFonts w:ascii="Arial CYR" w:eastAsia="Times New Roman" w:hAnsi="Arial CYR" w:cs="Arial CYR"/>
            <w:color w:val="0000CC"/>
            <w:sz w:val="20"/>
            <w:szCs w:val="20"/>
            <w:lang w:eastAsia="uk-UA"/>
          </w:rPr>
          <w:t xml:space="preserve">Про внесення зміни до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вимог до автомобільних бензинів, дизельного, суднових та котельних палив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23.01.2015</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2D3870D" wp14:editId="67F0F3BC">
            <wp:extent cx="224790" cy="224790"/>
            <wp:effectExtent l="0" t="0" r="3810" b="3810"/>
            <wp:docPr id="41" name="Рисунок 41"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6" w:tgtFrame="_blank" w:history="1">
        <w:r w:rsidRPr="001F22D7">
          <w:rPr>
            <w:rFonts w:ascii="Arial CYR" w:eastAsia="Times New Roman" w:hAnsi="Arial CYR" w:cs="Arial CYR"/>
            <w:color w:val="0000CC"/>
            <w:sz w:val="20"/>
            <w:szCs w:val="20"/>
            <w:lang w:eastAsia="uk-UA"/>
          </w:rPr>
          <w:t xml:space="preserve">Про внесення змін до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максимально дозволеного споживання електроенергії холодильними приладами</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08.10.2014</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528</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1C3505C" wp14:editId="5CEEA3D3">
            <wp:extent cx="224790" cy="224790"/>
            <wp:effectExtent l="0" t="0" r="3810" b="3810"/>
            <wp:docPr id="40" name="Рисунок 40"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7" w:tgtFrame="_blank" w:history="1">
        <w:r w:rsidRPr="001F22D7">
          <w:rPr>
            <w:rFonts w:ascii="Arial CYR" w:eastAsia="Times New Roman" w:hAnsi="Arial CYR" w:cs="Arial CYR"/>
            <w:color w:val="0000CC"/>
            <w:sz w:val="20"/>
            <w:szCs w:val="20"/>
            <w:lang w:eastAsia="uk-UA"/>
          </w:rPr>
          <w:t xml:space="preserve">Про внесення зміни до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вимог до автомобільних бензинів, дизельного, суднових та котельних палив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25.06.2014</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253</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A0FBDA7" wp14:editId="58EB8E00">
            <wp:extent cx="224790" cy="224790"/>
            <wp:effectExtent l="0" t="0" r="3810" b="3810"/>
            <wp:docPr id="39" name="Рисунок 39"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8"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медичних виробів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Критерії, Класифікація, Порядок, Заява, План, Заходи, Перелік</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02.10.2013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753</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5FB38A23" wp14:editId="05C74F63">
            <wp:extent cx="224790" cy="224790"/>
            <wp:effectExtent l="0" t="0" r="3810" b="3810"/>
            <wp:docPr id="38" name="Рисунок 38"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19"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активних медичних виробів, які імплантують</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Порядок, Заява,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02.10.2013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755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lastRenderedPageBreak/>
        <w:drawing>
          <wp:inline distT="0" distB="0" distL="0" distR="0" wp14:anchorId="4A3D474E" wp14:editId="2BE559F9">
            <wp:extent cx="224790" cy="224790"/>
            <wp:effectExtent l="0" t="0" r="3810" b="3810"/>
            <wp:docPr id="37" name="Рисунок 37"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0"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медичних виробів для діагностики </w:t>
        </w:r>
        <w:proofErr w:type="spellStart"/>
        <w:r w:rsidRPr="001F22D7">
          <w:rPr>
            <w:rFonts w:ascii="Arial CYR" w:eastAsia="Times New Roman" w:hAnsi="Arial CYR" w:cs="Arial CYR"/>
            <w:color w:val="0000CC"/>
            <w:sz w:val="20"/>
            <w:szCs w:val="20"/>
            <w:lang w:eastAsia="uk-UA"/>
          </w:rPr>
          <w:t>in</w:t>
        </w:r>
        <w:proofErr w:type="spellEnd"/>
        <w:r w:rsidRPr="001F22D7">
          <w:rPr>
            <w:rFonts w:ascii="Arial CYR" w:eastAsia="Times New Roman" w:hAnsi="Arial CYR" w:cs="Arial CYR"/>
            <w:color w:val="0000CC"/>
            <w:sz w:val="20"/>
            <w:szCs w:val="20"/>
            <w:lang w:eastAsia="uk-UA"/>
          </w:rPr>
          <w:t xml:space="preserve"> </w:t>
        </w:r>
        <w:proofErr w:type="spellStart"/>
        <w:r w:rsidRPr="001F22D7">
          <w:rPr>
            <w:rFonts w:ascii="Arial CYR" w:eastAsia="Times New Roman" w:hAnsi="Arial CYR" w:cs="Arial CYR"/>
            <w:color w:val="0000CC"/>
            <w:sz w:val="20"/>
            <w:szCs w:val="20"/>
            <w:lang w:eastAsia="uk-UA"/>
          </w:rPr>
          <w:t>vitro</w:t>
        </w:r>
        <w:proofErr w:type="spellEnd"/>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Перелік, Порядок,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02.10.2013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754</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8B968BF" wp14:editId="1BF41F36">
            <wp:extent cx="224790" cy="224790"/>
            <wp:effectExtent l="0" t="0" r="3810" b="3810"/>
            <wp:docPr id="36" name="Рисунок 36"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1"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вимог до автомобільних бензинів, дизельного, суднових та котельних палив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01.08.2013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927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F5E1A74" wp14:editId="5829CB0D">
            <wp:extent cx="224790" cy="224790"/>
            <wp:effectExtent l="0" t="0" r="3810" b="3810"/>
            <wp:docPr id="35" name="Рисунок 35"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2"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безпечності іграшок</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Перелік, Вимоги,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11.07.2013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515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565F95C0" wp14:editId="2C00D366">
            <wp:extent cx="224790" cy="224790"/>
            <wp:effectExtent l="0" t="0" r="3810" b="3810"/>
            <wp:docPr id="34" name="Рисунок 34"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3"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безпеки інфраструктури залізничного транспорту</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11.07.2013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494</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36BAB211" wp14:editId="334E10FD">
            <wp:extent cx="224790" cy="224790"/>
            <wp:effectExtent l="0" t="0" r="3810" b="3810"/>
            <wp:docPr id="33" name="Рисунок 33"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4"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з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обслуговування і ремонту колісних транспортних засобів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03.07.2013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643</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54EE9971" wp14:editId="60817497">
            <wp:extent cx="224790" cy="224790"/>
            <wp:effectExtent l="0" t="0" r="3810" b="3810"/>
            <wp:docPr id="32" name="Рисунок 32"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5"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безпеки машин</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Перелік, Порядок, Критерії,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30.01.2013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62</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162BE50" wp14:editId="242BEDC3">
            <wp:extent cx="224790" cy="224790"/>
            <wp:effectExtent l="0" t="0" r="3810" b="3810"/>
            <wp:docPr id="31" name="Рисунок 31"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6"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Сертифікат,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28.12.2011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1367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44D1E7E" wp14:editId="5D979AA5">
            <wp:extent cx="224790" cy="224790"/>
            <wp:effectExtent l="0" t="0" r="3810" b="3810"/>
            <wp:docPr id="30" name="Рисунок 30"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8"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складових частин і характеристик колісних сільськогосподарських та лісогосподарських тракторів (Додатки 1, 2 до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Схема</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28.12.2011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1368</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C1481BD" wp14:editId="59C1E24F">
            <wp:extent cx="224790" cy="224790"/>
            <wp:effectExtent l="0" t="0" r="3810" b="3810"/>
            <wp:docPr id="29" name="Рисунок 29"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29"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складових частин і характеристик колісних сільськогосподарських та лісогосподарських тракторів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Схема,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28.12.2011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1368</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E13E8CE" wp14:editId="5CD72D8E">
            <wp:extent cx="224790" cy="224790"/>
            <wp:effectExtent l="0" t="0" r="3810" b="3810"/>
            <wp:docPr id="28" name="Рисунок 28"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0"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прогулянкових суден</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09.11.2011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1147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5FB910E" wp14:editId="5EF89236">
            <wp:extent cx="224790" cy="224790"/>
            <wp:effectExtent l="0" t="0" r="3810" b="3810"/>
            <wp:docPr id="27" name="Рисунок 27"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1"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піротехнічних виробів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03.08.2011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839</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010E1071" wp14:editId="139964F8">
            <wp:extent cx="224790" cy="224790"/>
            <wp:effectExtent l="0" t="0" r="3810" b="3810"/>
            <wp:docPr id="26" name="Рисунок 26"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2" w:tgtFrame="_blank" w:history="1">
        <w:r w:rsidRPr="001F22D7">
          <w:rPr>
            <w:rFonts w:ascii="Arial CYR" w:eastAsia="Times New Roman" w:hAnsi="Arial CYR" w:cs="Arial CYR"/>
            <w:color w:val="0000CC"/>
            <w:sz w:val="20"/>
            <w:szCs w:val="20"/>
            <w:lang w:eastAsia="uk-UA"/>
          </w:rPr>
          <w:t xml:space="preserve">Про внесення зміни до пункту 2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засобів індивідуального захисту</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20.07.2011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777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EC32E1F" wp14:editId="20CD512A">
            <wp:extent cx="224790" cy="224790"/>
            <wp:effectExtent l="0" t="0" r="3810" b="3810"/>
            <wp:docPr id="25" name="Рисунок 25"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3"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маркування матеріалів, що використовуються для виготовлення основних складових взуття, яке надходить для продажу (Визначення основних складових взуття, яке надходить для продажу, та визначення основних матеріалів для виготовлення взуття, яке надходить для продажу)</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09.06.2011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632</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FAF77B8" wp14:editId="0990C848">
            <wp:extent cx="224790" cy="224790"/>
            <wp:effectExtent l="0" t="0" r="3810" b="3810"/>
            <wp:docPr id="24" name="Рисунок 24"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4"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маркування матеріалів, що використовуються для виготовлення основних складових взуття, яке надходить для продажу</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09.06.2011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632</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2601DFE" wp14:editId="0C6B56B8">
            <wp:extent cx="224790" cy="224790"/>
            <wp:effectExtent l="0" t="0" r="3810" b="3810"/>
            <wp:docPr id="23" name="Рисунок 23"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5"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з екологічного маркування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18.05.2011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529</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lastRenderedPageBreak/>
        <w:drawing>
          <wp:inline distT="0" distB="0" distL="0" distR="0" wp14:anchorId="0CEA823A" wp14:editId="1B929316">
            <wp:extent cx="224790" cy="224790"/>
            <wp:effectExtent l="0" t="0" r="3810" b="3810"/>
            <wp:docPr id="22" name="Рисунок 22"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6"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енергетичного маркування побутових пральних машин (Вимоги до енергетичної етикетки та листівки)</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Вимоги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16.02.2011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108</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1216651" wp14:editId="595F1B86">
            <wp:extent cx="224790" cy="224790"/>
            <wp:effectExtent l="0" t="0" r="3810" b="3810"/>
            <wp:docPr id="21" name="Рисунок 21"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7"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енергетичного маркування побутових пральних машин</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16.02.2011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108</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30AFC550" wp14:editId="62315B89">
            <wp:extent cx="224790" cy="224790"/>
            <wp:effectExtent l="0" t="0" r="3810" b="3810"/>
            <wp:docPr id="20" name="Рисунок 20"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8"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енергетичного маркування побутових холодильників, морозильників та їх комбінацій (Вимоги до енергетичної етикетки та листівки)</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Вимоги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16.02.2011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A918FEE" wp14:editId="5D4B6C49">
            <wp:extent cx="224790" cy="224790"/>
            <wp:effectExtent l="0" t="0" r="3810" b="3810"/>
            <wp:docPr id="19" name="Рисунок 19"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39"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енергетичного маркування побутових холодильників, морозильників та їх комбінацій</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16.02.2011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107</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318609A8" wp14:editId="7E2D4366">
            <wp:extent cx="224790" cy="224790"/>
            <wp:effectExtent l="0" t="0" r="3810" b="3810"/>
            <wp:docPr id="18" name="Рисунок 18"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0"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безпеки обладнання, що працює під тиском (Додатки 1-9 "Критерії віднесення обладнання до відповідної категорії")</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19.01.2011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35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97FAA4D" wp14:editId="21B50465">
            <wp:extent cx="224790" cy="224790"/>
            <wp:effectExtent l="0" t="0" r="3810" b="3810"/>
            <wp:docPr id="17" name="Рисунок 17"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1"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безпеки обладнання, що працює під тиском</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19.01.2011</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35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387667EA" wp14:editId="317D51F4">
            <wp:extent cx="224790" cy="224790"/>
            <wp:effectExtent l="0" t="0" r="3810" b="3810"/>
            <wp:docPr id="16" name="Рисунок 16"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2"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безпеки машин та устаткування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Перелік, Порядок,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12.10.2010</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933</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FBDBE3B" wp14:editId="1D37A6F1">
            <wp:extent cx="224790" cy="224790"/>
            <wp:effectExtent l="0" t="0" r="3810" b="3810"/>
            <wp:docPr id="15" name="Рисунок 15"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3"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надання послуг з перевезення пасажирів та вантажів залізничним транспортом</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01.03.2010</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193</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B0C264B" wp14:editId="1C25F4AC">
            <wp:extent cx="224790" cy="224790"/>
            <wp:effectExtent l="0" t="0" r="3810" b="3810"/>
            <wp:docPr id="14" name="Рисунок 14"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4"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енергетичного маркування електрообладнання побутового призначення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06.01.2010</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72833D6" wp14:editId="5C599246">
            <wp:extent cx="224790" cy="224790"/>
            <wp:effectExtent l="0" t="0" r="3810" b="3810"/>
            <wp:docPr id="13" name="Рисунок 13"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5"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знаків безпеки і захисту здоров'я працівників (Додатки 1-8)</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25.11.2009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1262</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34D7918" wp14:editId="7E2B7C9C">
            <wp:extent cx="224790" cy="224790"/>
            <wp:effectExtent l="0" t="0" r="3810" b="3810"/>
            <wp:docPr id="12" name="Рисунок 12"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6"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знаків безпеки і захисту здоров'я працівників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25.11.2009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1262</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5586647" wp14:editId="0B58AA82">
            <wp:extent cx="224790" cy="224790"/>
            <wp:effectExtent l="0" t="0" r="3810" b="3810"/>
            <wp:docPr id="11" name="Рисунок 11"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7"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низьковольтного електричного обладнання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План, Заходи, Вимоги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29.10.2009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1149</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391E23D" wp14:editId="6EA13405">
            <wp:extent cx="224790" cy="224790"/>
            <wp:effectExtent l="0" t="0" r="3810" b="3810"/>
            <wp:docPr id="10" name="Рисунок 10"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8"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канатних доріг для перевезення пасажирів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14.10.2009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1076</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3955994E" wp14:editId="23E717FC">
            <wp:extent cx="224790" cy="224790"/>
            <wp:effectExtent l="0" t="0" r="3810" b="3810"/>
            <wp:docPr id="9" name="Рисунок 9"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49"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з електромагнітної сумісності обладнання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29.07.2009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785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38FDF6F" wp14:editId="717B8AB3">
            <wp:extent cx="224790" cy="224790"/>
            <wp:effectExtent l="0" t="0" r="3810" b="3810"/>
            <wp:docPr id="8" name="Рисунок 8"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0"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радіообладнання і телекомунікаційного кінцевого (термінального) обладнання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Декларація, Форма типового документа,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24.06.2009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679</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lastRenderedPageBreak/>
        <w:drawing>
          <wp:inline distT="0" distB="0" distL="0" distR="0" wp14:anchorId="2B84EC17" wp14:editId="2561F9F6">
            <wp:extent cx="224790" cy="224790"/>
            <wp:effectExtent l="0" t="0" r="3810" b="3810"/>
            <wp:docPr id="7" name="Рисунок 7"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1"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ліфтів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Перелік</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22.04.2009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465</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3ABF1069" wp14:editId="4EE54EE8">
            <wp:extent cx="224790" cy="224790"/>
            <wp:effectExtent l="0" t="0" r="3810" b="3810"/>
            <wp:docPr id="6" name="Рисунок 6"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2"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щодо суттєвих вимог до засобів вимірювальної техніки</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08.04.2009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332</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E10EE0D" wp14:editId="7A894568">
            <wp:extent cx="224790" cy="224790"/>
            <wp:effectExtent l="0" t="0" r="3810" b="3810"/>
            <wp:docPr id="5" name="Рисунок 5"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3"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безпеки простих посудин високого тиску</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25.03.2009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268</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F389B11" wp14:editId="39A1D7C8">
            <wp:extent cx="224790" cy="224790"/>
            <wp:effectExtent l="0" t="0" r="3810" b="3810"/>
            <wp:docPr id="4" name="Рисунок 4"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4"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неавтоматичних зважувальних приладів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11.03.2009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190</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0DFF032" wp14:editId="7A0E6E26">
            <wp:extent cx="224790" cy="224790"/>
            <wp:effectExtent l="0" t="0" r="3810" b="3810"/>
            <wp:docPr id="3" name="Рисунок 3"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5"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щодо назв текстильних волокон і маркування текстильних виробів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Перелік,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14.01.2009</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13</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6A4ACA8" wp14:editId="46805E74">
            <wp:extent cx="224790" cy="224790"/>
            <wp:effectExtent l="0" t="0" r="3810" b="3810"/>
            <wp:docPr id="2" name="Рисунок 2"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6"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етикетування ламп побутового використання стосовно ефективності споживання електроенергії (Додаток 1)</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Вимоги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27.12.2008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1144</w:t>
      </w:r>
    </w:p>
    <w:p w:rsidR="001F22D7" w:rsidRPr="001F22D7" w:rsidRDefault="001F22D7" w:rsidP="001F22D7">
      <w:pPr>
        <w:numPr>
          <w:ilvl w:val="0"/>
          <w:numId w:val="1"/>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5B47589" wp14:editId="370DEA1A">
            <wp:extent cx="224790" cy="224790"/>
            <wp:effectExtent l="0" t="0" r="3810" b="3810"/>
            <wp:docPr id="1" name="Рисунок 1"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7"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етикетування ламп побутового використання стосовно ефективності споживання електроенергії</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Вимоги,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27.12.2008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1144</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BDABF6A" wp14:editId="01EE026E">
            <wp:extent cx="224790" cy="224790"/>
            <wp:effectExtent l="0" t="0" r="3810" b="3810"/>
            <wp:docPr id="68" name="Рисунок 68"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8"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обмеження використання деяких небезпечних речовин в електричному та електронному обладнанні</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Перелік,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03.12.2008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1057</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2DFDCED" wp14:editId="012B34F7">
            <wp:extent cx="224790" cy="224790"/>
            <wp:effectExtent l="0" t="0" r="3810" b="3810"/>
            <wp:docPr id="67" name="Рисунок 67" descr="http://zakonst.rada.gov.ua/images/text/a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zakonst.rada.gov.ua/images/text/at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59"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пересувного обладнання, що працює під тиском (Зразок </w:t>
        </w:r>
        <w:proofErr w:type="spellStart"/>
        <w:r w:rsidRPr="001F22D7">
          <w:rPr>
            <w:rFonts w:ascii="Arial CYR" w:eastAsia="Times New Roman" w:hAnsi="Arial CYR" w:cs="Arial CYR"/>
            <w:color w:val="0000CC"/>
            <w:sz w:val="20"/>
            <w:szCs w:val="20"/>
            <w:lang w:eastAsia="uk-UA"/>
          </w:rPr>
          <w:t>знака</w:t>
        </w:r>
        <w:proofErr w:type="spellEnd"/>
        <w:r w:rsidRPr="001F22D7">
          <w:rPr>
            <w:rFonts w:ascii="Arial CYR" w:eastAsia="Times New Roman" w:hAnsi="Arial CYR" w:cs="Arial CYR"/>
            <w:color w:val="0000CC"/>
            <w:sz w:val="20"/>
            <w:szCs w:val="20"/>
            <w:lang w:eastAsia="uk-UA"/>
          </w:rPr>
          <w:t xml:space="preserve"> відповідності Технічному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пересувного обладнання, що працює під тиском)</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Зразок</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05.11.2008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967</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719B8912" wp14:editId="76E67139">
            <wp:extent cx="224790" cy="224790"/>
            <wp:effectExtent l="0" t="0" r="3810" b="3810"/>
            <wp:docPr id="66" name="Рисунок 66"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0"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пересувного обладнання, що працює під тиском</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Зразок,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05.11.2008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967</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01927C7D" wp14:editId="6BBE86B9">
            <wp:extent cx="224790" cy="224790"/>
            <wp:effectExtent l="0" t="0" r="3810" b="3810"/>
            <wp:docPr id="65" name="Рисунок 65"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1"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безпеки іграшок</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08.10.2008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901</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074353B5" wp14:editId="3CEF065E">
            <wp:extent cx="224790" cy="224790"/>
            <wp:effectExtent l="0" t="0" r="3810" b="3810"/>
            <wp:docPr id="64" name="Рисунок 64"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2"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обладнання та захисних систем, призначених для застосування в потенційно вибухонебезпечному середовищі</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08.10.2008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898</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38D42628" wp14:editId="3DC8967C">
            <wp:extent cx="224790" cy="224790"/>
            <wp:effectExtent l="0" t="0" r="3810" b="3810"/>
            <wp:docPr id="63" name="Рисунок 63"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3"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приладів, що працюють на газоподібному паливі</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24.09.2008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856</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5341F79A" wp14:editId="24C49FA5">
            <wp:extent cx="224790" cy="224790"/>
            <wp:effectExtent l="0" t="0" r="3810" b="3810"/>
            <wp:docPr id="62" name="Рисунок 62"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4"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максимально дозволеного споживання електроенергії холодильними приладами</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Коефіцієнти,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03.09.2008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787</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lastRenderedPageBreak/>
        <w:drawing>
          <wp:inline distT="0" distB="0" distL="0" distR="0" wp14:anchorId="262D4879" wp14:editId="32420108">
            <wp:extent cx="224790" cy="224790"/>
            <wp:effectExtent l="0" t="0" r="3810" b="3810"/>
            <wp:docPr id="61" name="Рисунок 61"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5"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засобів індивідуального захисту</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27.08.2008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761</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292E56CA" wp14:editId="71C456C6">
            <wp:extent cx="224790" cy="224790"/>
            <wp:effectExtent l="0" t="0" r="3810" b="3810"/>
            <wp:docPr id="60" name="Рисунок 60"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6"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водогрійних котлів, що працюють на рідкому чи газоподібному паливі</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27.08.2008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748</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441F081" wp14:editId="40B44108">
            <wp:extent cx="224790" cy="224790"/>
            <wp:effectExtent l="0" t="0" r="3810" b="3810"/>
            <wp:docPr id="59" name="Рисунок 59"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7"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мийних засобів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20.08.2008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717</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5E2FA446" wp14:editId="64BDFF7F">
            <wp:extent cx="224790" cy="224790"/>
            <wp:effectExtent l="0" t="0" r="3810" b="3810"/>
            <wp:docPr id="58" name="Рисунок 58"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8"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щодо медичних виробів для лабораторної діагностики </w:t>
        </w:r>
        <w:proofErr w:type="spellStart"/>
        <w:r w:rsidRPr="001F22D7">
          <w:rPr>
            <w:rFonts w:ascii="Arial CYR" w:eastAsia="Times New Roman" w:hAnsi="Arial CYR" w:cs="Arial CYR"/>
            <w:color w:val="333333"/>
            <w:sz w:val="20"/>
            <w:szCs w:val="20"/>
            <w:lang w:eastAsia="uk-UA"/>
          </w:rPr>
          <w:t>in</w:t>
        </w:r>
        <w:proofErr w:type="spellEnd"/>
        <w:r w:rsidRPr="001F22D7">
          <w:rPr>
            <w:rFonts w:ascii="Arial CYR" w:eastAsia="Times New Roman" w:hAnsi="Arial CYR" w:cs="Arial CYR"/>
            <w:color w:val="333333"/>
            <w:sz w:val="20"/>
            <w:szCs w:val="20"/>
            <w:lang w:eastAsia="uk-UA"/>
          </w:rPr>
          <w:t xml:space="preserve"> </w:t>
        </w:r>
        <w:proofErr w:type="spellStart"/>
        <w:r w:rsidRPr="001F22D7">
          <w:rPr>
            <w:rFonts w:ascii="Arial CYR" w:eastAsia="Times New Roman" w:hAnsi="Arial CYR" w:cs="Arial CYR"/>
            <w:color w:val="333333"/>
            <w:sz w:val="20"/>
            <w:szCs w:val="20"/>
            <w:lang w:eastAsia="uk-UA"/>
          </w:rPr>
          <w:t>vitro</w:t>
        </w:r>
        <w:proofErr w:type="spellEnd"/>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Перелік,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16.07.2008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641</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7FFA4D1" wp14:editId="5562E587">
            <wp:extent cx="224790" cy="224790"/>
            <wp:effectExtent l="0" t="0" r="3810" b="3810"/>
            <wp:docPr id="57" name="Рисунок 57"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69"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щодо активних медичних виробів, які імплантують</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09.07.2008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621</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E0C52B2" wp14:editId="49CD4AA9">
            <wp:extent cx="224790" cy="224790"/>
            <wp:effectExtent l="0" t="0" r="3810" b="3810"/>
            <wp:docPr id="56" name="Рисунок 56"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70" w:tgtFrame="_blank" w:history="1">
        <w:r w:rsidRPr="001F22D7">
          <w:rPr>
            <w:rFonts w:ascii="Arial CYR" w:eastAsia="Times New Roman" w:hAnsi="Arial CYR" w:cs="Arial CYR"/>
            <w:color w:val="333333"/>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333333"/>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333333"/>
            <w:sz w:val="20"/>
            <w:szCs w:val="20"/>
            <w:lang w:eastAsia="uk-UA"/>
          </w:rPr>
          <w:t xml:space="preserve"> щодо медичних виробів</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11.06.2008</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536</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3B6009F" wp14:editId="5842BBB0">
            <wp:extent cx="224790" cy="224790"/>
            <wp:effectExtent l="0" t="0" r="3810" b="3810"/>
            <wp:docPr id="55" name="Рисунок 55"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71"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закритих джерел іонізуючого випромінювання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Декларація, Перелік, План, Форма типового документа</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05.12.2007</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1382</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1327264F" wp14:editId="5FF5503B">
            <wp:extent cx="224790" cy="224790"/>
            <wp:effectExtent l="0" t="0" r="3810" b="3810"/>
            <wp:docPr id="54" name="Рисунок 54"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72"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морського обладнання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05.09.2007</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1103</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6113D5BA" wp14:editId="50FB28CB">
            <wp:extent cx="224790" cy="224790"/>
            <wp:effectExtent l="0" t="0" r="3810" b="3810"/>
            <wp:docPr id="53" name="Рисунок 53"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73"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щодо пакувальних комплектів для зберігання та захоронення радіоактивних відходів і плану заходів з його застосування</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Перелік, Декларація, План, Заходи</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18.07.2007</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939</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E58E6FC" wp14:editId="43A23953">
            <wp:extent cx="224790" cy="224790"/>
            <wp:effectExtent l="0" t="0" r="3810" b="3810"/>
            <wp:docPr id="52" name="Рисунок 52"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74" w:tgtFrame="_blank" w:history="1">
        <w:r w:rsidRPr="001F22D7">
          <w:rPr>
            <w:rFonts w:ascii="Arial CYR" w:eastAsia="Times New Roman" w:hAnsi="Arial CYR" w:cs="Arial CYR"/>
            <w:color w:val="0000CC"/>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0000CC"/>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0000CC"/>
            <w:sz w:val="20"/>
            <w:szCs w:val="20"/>
            <w:lang w:eastAsia="uk-UA"/>
          </w:rPr>
          <w:t xml:space="preserve"> будівельних виробів, будівель і споруд</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 Форма типового документа, Декларація</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20.12.2006</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1764</w:t>
      </w:r>
    </w:p>
    <w:p w:rsidR="001F22D7" w:rsidRPr="001F22D7" w:rsidRDefault="001F22D7" w:rsidP="001F22D7">
      <w:pPr>
        <w:numPr>
          <w:ilvl w:val="0"/>
          <w:numId w:val="2"/>
        </w:numPr>
        <w:spacing w:before="100" w:beforeAutospacing="1" w:after="100" w:afterAutospacing="1" w:line="270" w:lineRule="atLeast"/>
        <w:ind w:left="0" w:firstLine="0"/>
        <w:rPr>
          <w:rFonts w:ascii="Arial CYR" w:eastAsia="Times New Roman" w:hAnsi="Arial CYR" w:cs="Arial CYR"/>
          <w:color w:val="000000"/>
          <w:sz w:val="20"/>
          <w:szCs w:val="20"/>
          <w:lang w:eastAsia="uk-UA"/>
        </w:rPr>
      </w:pPr>
      <w:r>
        <w:rPr>
          <w:rFonts w:ascii="Arial CYR" w:eastAsia="Times New Roman" w:hAnsi="Arial CYR" w:cs="Arial CYR"/>
          <w:noProof/>
          <w:color w:val="000000"/>
          <w:sz w:val="20"/>
          <w:szCs w:val="20"/>
          <w:lang w:eastAsia="uk-UA"/>
        </w:rPr>
        <w:drawing>
          <wp:inline distT="0" distB="0" distL="0" distR="0" wp14:anchorId="417DEE95" wp14:editId="1736A445">
            <wp:extent cx="224790" cy="224790"/>
            <wp:effectExtent l="0" t="0" r="3810" b="3810"/>
            <wp:docPr id="51" name="Рисунок 51" descr="http://zakonst.rada.gov.ua/images/tex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zakonst.rada.gov.ua/images/text/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Pr="001F22D7">
        <w:rPr>
          <w:rFonts w:ascii="Arial CYR" w:eastAsia="Times New Roman" w:hAnsi="Arial CYR" w:cs="Arial CYR"/>
          <w:color w:val="000000"/>
          <w:sz w:val="20"/>
          <w:szCs w:val="20"/>
          <w:lang w:eastAsia="uk-UA"/>
        </w:rPr>
        <w:t> </w:t>
      </w:r>
      <w:hyperlink r:id="rId75" w:tgtFrame="_blank" w:history="1">
        <w:r w:rsidRPr="001F22D7">
          <w:rPr>
            <w:rFonts w:ascii="Arial CYR" w:eastAsia="Times New Roman" w:hAnsi="Arial CYR" w:cs="Arial CYR"/>
            <w:color w:val="15629D"/>
            <w:sz w:val="20"/>
            <w:szCs w:val="20"/>
            <w:lang w:eastAsia="uk-UA"/>
          </w:rPr>
          <w:t xml:space="preserve">Про затвердження </w:t>
        </w:r>
        <w:r w:rsidRPr="001F22D7">
          <w:rPr>
            <w:rFonts w:ascii="Arial CYR" w:eastAsia="Times New Roman" w:hAnsi="Arial CYR" w:cs="Arial CYR"/>
            <w:b/>
            <w:bCs/>
            <w:color w:val="FF0000"/>
            <w:sz w:val="20"/>
            <w:szCs w:val="20"/>
            <w:u w:val="single"/>
            <w:shd w:val="clear" w:color="auto" w:fill="FFDDDD"/>
            <w:lang w:eastAsia="uk-UA"/>
          </w:rPr>
          <w:t>Технічного</w:t>
        </w:r>
        <w:r w:rsidRPr="001F22D7">
          <w:rPr>
            <w:rFonts w:ascii="Arial CYR" w:eastAsia="Times New Roman" w:hAnsi="Arial CYR" w:cs="Arial CYR"/>
            <w:color w:val="15629D"/>
            <w:sz w:val="20"/>
            <w:szCs w:val="20"/>
            <w:lang w:eastAsia="uk-UA"/>
          </w:rPr>
          <w:t xml:space="preserve"> </w:t>
        </w:r>
        <w:r w:rsidRPr="001F22D7">
          <w:rPr>
            <w:rFonts w:ascii="Arial CYR" w:eastAsia="Times New Roman" w:hAnsi="Arial CYR" w:cs="Arial CYR"/>
            <w:b/>
            <w:bCs/>
            <w:color w:val="FF0000"/>
            <w:sz w:val="20"/>
            <w:szCs w:val="20"/>
            <w:u w:val="single"/>
            <w:shd w:val="clear" w:color="auto" w:fill="FFDDDD"/>
            <w:lang w:eastAsia="uk-UA"/>
          </w:rPr>
          <w:t>регламенту</w:t>
        </w:r>
        <w:r w:rsidRPr="001F22D7">
          <w:rPr>
            <w:rFonts w:ascii="Arial CYR" w:eastAsia="Times New Roman" w:hAnsi="Arial CYR" w:cs="Arial CYR"/>
            <w:color w:val="15629D"/>
            <w:sz w:val="20"/>
            <w:szCs w:val="20"/>
            <w:lang w:eastAsia="uk-UA"/>
          </w:rPr>
          <w:t xml:space="preserve"> модулів оцінки відповідності</w:t>
        </w:r>
      </w:hyperlink>
      <w:r w:rsidRPr="001F22D7">
        <w:rPr>
          <w:rFonts w:ascii="Arial CYR" w:eastAsia="Times New Roman" w:hAnsi="Arial CYR" w:cs="Arial CYR"/>
          <w:color w:val="000000"/>
          <w:sz w:val="20"/>
          <w:szCs w:val="20"/>
          <w:lang w:eastAsia="uk-UA"/>
        </w:rPr>
        <w:br/>
      </w:r>
      <w:r w:rsidRPr="001F22D7">
        <w:rPr>
          <w:rFonts w:ascii="Arial CYR" w:eastAsia="Times New Roman" w:hAnsi="Arial CYR" w:cs="Arial CYR"/>
          <w:color w:val="006600"/>
          <w:sz w:val="20"/>
          <w:szCs w:val="20"/>
          <w:lang w:eastAsia="uk-UA"/>
        </w:rPr>
        <w:t>Постанова Кабінету Міністрів України; Регламент</w:t>
      </w:r>
      <w:r w:rsidRPr="001F22D7">
        <w:rPr>
          <w:rFonts w:ascii="Arial CYR" w:eastAsia="Times New Roman" w:hAnsi="Arial CYR" w:cs="Arial CYR"/>
          <w:color w:val="000000"/>
          <w:sz w:val="20"/>
          <w:szCs w:val="20"/>
          <w:lang w:eastAsia="uk-UA"/>
        </w:rPr>
        <w:t xml:space="preserve"> від </w:t>
      </w:r>
      <w:r w:rsidRPr="001F22D7">
        <w:rPr>
          <w:rFonts w:ascii="Arial CYR" w:eastAsia="Times New Roman" w:hAnsi="Arial CYR" w:cs="Arial CYR"/>
          <w:color w:val="004499"/>
          <w:sz w:val="20"/>
          <w:szCs w:val="20"/>
          <w:lang w:eastAsia="uk-UA"/>
        </w:rPr>
        <w:t>07.10.2003</w:t>
      </w:r>
      <w:r w:rsidRPr="001F22D7">
        <w:rPr>
          <w:rFonts w:ascii="Arial CYR" w:eastAsia="Times New Roman" w:hAnsi="Arial CYR" w:cs="Arial CYR"/>
          <w:color w:val="000000"/>
          <w:sz w:val="20"/>
          <w:szCs w:val="20"/>
          <w:lang w:eastAsia="uk-UA"/>
        </w:rPr>
        <w:t xml:space="preserve"> № </w:t>
      </w:r>
      <w:r w:rsidRPr="001F22D7">
        <w:rPr>
          <w:rFonts w:ascii="Arial CYR" w:eastAsia="Times New Roman" w:hAnsi="Arial CYR" w:cs="Arial CYR"/>
          <w:b/>
          <w:bCs/>
          <w:color w:val="000000"/>
          <w:sz w:val="20"/>
          <w:szCs w:val="20"/>
          <w:lang w:eastAsia="uk-UA"/>
        </w:rPr>
        <w:t>1585</w:t>
      </w:r>
    </w:p>
    <w:p w:rsidR="001F22D7" w:rsidRDefault="001F22D7" w:rsidP="001F22D7"/>
    <w:sectPr w:rsidR="001F22D7" w:rsidSect="00B476D5">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7A87" w:usb1="80000000" w:usb2="00000008"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321"/>
    <w:multiLevelType w:val="multilevel"/>
    <w:tmpl w:val="AE22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532538"/>
    <w:multiLevelType w:val="multilevel"/>
    <w:tmpl w:val="0D32A9C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D7"/>
    <w:rsid w:val="001F22D7"/>
    <w:rsid w:val="00785879"/>
    <w:rsid w:val="00B476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2D7"/>
    <w:rPr>
      <w:strike w:val="0"/>
      <w:dstrike w:val="0"/>
      <w:color w:val="15629D"/>
      <w:u w:val="none"/>
      <w:effect w:val="none"/>
    </w:rPr>
  </w:style>
  <w:style w:type="paragraph" w:styleId="a4">
    <w:name w:val="Balloon Text"/>
    <w:basedOn w:val="a"/>
    <w:link w:val="a5"/>
    <w:uiPriority w:val="99"/>
    <w:semiHidden/>
    <w:unhideWhenUsed/>
    <w:rsid w:val="001F2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2D7"/>
    <w:rPr>
      <w:rFonts w:ascii="Tahoma" w:hAnsi="Tahoma" w:cs="Tahoma"/>
      <w:sz w:val="16"/>
      <w:szCs w:val="16"/>
    </w:rPr>
  </w:style>
  <w:style w:type="paragraph" w:customStyle="1" w:styleId="spi2">
    <w:name w:val="spi2"/>
    <w:basedOn w:val="a"/>
    <w:rsid w:val="001F22D7"/>
    <w:pPr>
      <w:spacing w:before="100" w:beforeAutospacing="1" w:after="150" w:line="240" w:lineRule="auto"/>
    </w:pPr>
    <w:rPr>
      <w:rFonts w:ascii="Tahoma" w:eastAsia="Times New Roman" w:hAnsi="Tahoma" w:cs="Tahoma"/>
      <w:sz w:val="17"/>
      <w:szCs w:val="1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22D7"/>
    <w:rPr>
      <w:strike w:val="0"/>
      <w:dstrike w:val="0"/>
      <w:color w:val="15629D"/>
      <w:u w:val="none"/>
      <w:effect w:val="none"/>
    </w:rPr>
  </w:style>
  <w:style w:type="paragraph" w:styleId="a4">
    <w:name w:val="Balloon Text"/>
    <w:basedOn w:val="a"/>
    <w:link w:val="a5"/>
    <w:uiPriority w:val="99"/>
    <w:semiHidden/>
    <w:unhideWhenUsed/>
    <w:rsid w:val="001F2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2D7"/>
    <w:rPr>
      <w:rFonts w:ascii="Tahoma" w:hAnsi="Tahoma" w:cs="Tahoma"/>
      <w:sz w:val="16"/>
      <w:szCs w:val="16"/>
    </w:rPr>
  </w:style>
  <w:style w:type="paragraph" w:customStyle="1" w:styleId="spi2">
    <w:name w:val="spi2"/>
    <w:basedOn w:val="a"/>
    <w:rsid w:val="001F22D7"/>
    <w:pPr>
      <w:spacing w:before="100" w:beforeAutospacing="1" w:after="150" w:line="240" w:lineRule="auto"/>
    </w:pPr>
    <w:rPr>
      <w:rFonts w:ascii="Tahoma" w:eastAsia="Times New Roman" w:hAnsi="Tahoma" w:cs="Tahoma"/>
      <w:sz w:val="17"/>
      <w:szCs w:val="1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92193">
      <w:bodyDiv w:val="1"/>
      <w:marLeft w:val="0"/>
      <w:marRight w:val="0"/>
      <w:marTop w:val="0"/>
      <w:marBottom w:val="0"/>
      <w:divBdr>
        <w:top w:val="none" w:sz="0" w:space="0" w:color="auto"/>
        <w:left w:val="none" w:sz="0" w:space="0" w:color="auto"/>
        <w:bottom w:val="none" w:sz="0" w:space="0" w:color="auto"/>
        <w:right w:val="none" w:sz="0" w:space="0" w:color="auto"/>
      </w:divBdr>
    </w:div>
    <w:div w:id="1173030196">
      <w:bodyDiv w:val="1"/>
      <w:marLeft w:val="0"/>
      <w:marRight w:val="0"/>
      <w:marTop w:val="0"/>
      <w:marBottom w:val="0"/>
      <w:divBdr>
        <w:top w:val="none" w:sz="0" w:space="0" w:color="auto"/>
        <w:left w:val="none" w:sz="0" w:space="0" w:color="auto"/>
        <w:bottom w:val="none" w:sz="0" w:space="0" w:color="auto"/>
        <w:right w:val="none" w:sz="0" w:space="0" w:color="auto"/>
      </w:divBdr>
      <w:divsChild>
        <w:div w:id="410856600">
          <w:marLeft w:val="0"/>
          <w:marRight w:val="0"/>
          <w:marTop w:val="0"/>
          <w:marBottom w:val="0"/>
          <w:divBdr>
            <w:top w:val="none" w:sz="0" w:space="0" w:color="auto"/>
            <w:left w:val="none" w:sz="0" w:space="0" w:color="auto"/>
            <w:bottom w:val="none" w:sz="0" w:space="0" w:color="auto"/>
            <w:right w:val="none" w:sz="0" w:space="0" w:color="auto"/>
          </w:divBdr>
          <w:divsChild>
            <w:div w:id="1471896306">
              <w:marLeft w:val="0"/>
              <w:marRight w:val="0"/>
              <w:marTop w:val="100"/>
              <w:marBottom w:val="100"/>
              <w:divBdr>
                <w:top w:val="none" w:sz="0" w:space="0" w:color="auto"/>
                <w:left w:val="none" w:sz="0" w:space="0" w:color="auto"/>
                <w:bottom w:val="none" w:sz="0" w:space="0" w:color="auto"/>
                <w:right w:val="none" w:sz="0" w:space="0" w:color="auto"/>
              </w:divBdr>
              <w:divsChild>
                <w:div w:id="1951819205">
                  <w:marLeft w:val="0"/>
                  <w:marRight w:val="0"/>
                  <w:marTop w:val="0"/>
                  <w:marBottom w:val="0"/>
                  <w:divBdr>
                    <w:top w:val="single" w:sz="6" w:space="4" w:color="DCDCDC"/>
                    <w:left w:val="single" w:sz="6" w:space="4" w:color="DCDCDC"/>
                    <w:bottom w:val="single" w:sz="6" w:space="0" w:color="DCDCDC"/>
                    <w:right w:val="single" w:sz="6" w:space="4" w:color="DCDCDC"/>
                  </w:divBdr>
                </w:div>
              </w:divsChild>
            </w:div>
          </w:divsChild>
        </w:div>
      </w:divsChild>
    </w:div>
    <w:div w:id="1651204893">
      <w:bodyDiv w:val="1"/>
      <w:marLeft w:val="0"/>
      <w:marRight w:val="0"/>
      <w:marTop w:val="0"/>
      <w:marBottom w:val="0"/>
      <w:divBdr>
        <w:top w:val="none" w:sz="0" w:space="0" w:color="auto"/>
        <w:left w:val="none" w:sz="0" w:space="0" w:color="auto"/>
        <w:bottom w:val="none" w:sz="0" w:space="0" w:color="auto"/>
        <w:right w:val="none" w:sz="0" w:space="0" w:color="auto"/>
      </w:divBdr>
      <w:divsChild>
        <w:div w:id="23673265">
          <w:marLeft w:val="0"/>
          <w:marRight w:val="0"/>
          <w:marTop w:val="0"/>
          <w:marBottom w:val="0"/>
          <w:divBdr>
            <w:top w:val="none" w:sz="0" w:space="0" w:color="auto"/>
            <w:left w:val="none" w:sz="0" w:space="0" w:color="auto"/>
            <w:bottom w:val="none" w:sz="0" w:space="0" w:color="auto"/>
            <w:right w:val="none" w:sz="0" w:space="0" w:color="auto"/>
          </w:divBdr>
          <w:divsChild>
            <w:div w:id="2063094933">
              <w:marLeft w:val="0"/>
              <w:marRight w:val="0"/>
              <w:marTop w:val="100"/>
              <w:marBottom w:val="100"/>
              <w:divBdr>
                <w:top w:val="none" w:sz="0" w:space="0" w:color="auto"/>
                <w:left w:val="none" w:sz="0" w:space="0" w:color="auto"/>
                <w:bottom w:val="none" w:sz="0" w:space="0" w:color="auto"/>
                <w:right w:val="none" w:sz="0" w:space="0" w:color="auto"/>
              </w:divBdr>
              <w:divsChild>
                <w:div w:id="1740597467">
                  <w:marLeft w:val="0"/>
                  <w:marRight w:val="0"/>
                  <w:marTop w:val="0"/>
                  <w:marBottom w:val="0"/>
                  <w:divBdr>
                    <w:top w:val="single" w:sz="6" w:space="4" w:color="DCDCDC"/>
                    <w:left w:val="single" w:sz="6" w:space="4" w:color="DCDCDC"/>
                    <w:bottom w:val="single" w:sz="6" w:space="0" w:color="DCDCDC"/>
                    <w:right w:val="single" w:sz="6" w:space="4" w:color="DCDCD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340-2015-%D0%BF" TargetMode="External"/><Relationship Id="rId18" Type="http://schemas.openxmlformats.org/officeDocument/2006/relationships/hyperlink" Target="http://zakon5.rada.gov.ua/laws/show/753-2013-%D0%BF" TargetMode="External"/><Relationship Id="rId26" Type="http://schemas.openxmlformats.org/officeDocument/2006/relationships/hyperlink" Target="http://zakon5.rada.gov.ua/laws/show/1367-2011-%D0%BF" TargetMode="External"/><Relationship Id="rId39" Type="http://schemas.openxmlformats.org/officeDocument/2006/relationships/hyperlink" Target="http://zakon5.rada.gov.ua/laws/show/107-2011-%D0%BF" TargetMode="External"/><Relationship Id="rId21" Type="http://schemas.openxmlformats.org/officeDocument/2006/relationships/hyperlink" Target="http://zakon5.rada.gov.ua/laws/show/927-2013-%D0%BF" TargetMode="External"/><Relationship Id="rId34" Type="http://schemas.openxmlformats.org/officeDocument/2006/relationships/hyperlink" Target="http://zakon5.rada.gov.ua/laws/show/632-2011-%D0%BF" TargetMode="External"/><Relationship Id="rId42" Type="http://schemas.openxmlformats.org/officeDocument/2006/relationships/hyperlink" Target="http://zakon5.rada.gov.ua/laws/show/933-2010-%D0%BF" TargetMode="External"/><Relationship Id="rId47" Type="http://schemas.openxmlformats.org/officeDocument/2006/relationships/hyperlink" Target="http://zakon5.rada.gov.ua/laws/show/1149-2009-%D0%BF" TargetMode="External"/><Relationship Id="rId50" Type="http://schemas.openxmlformats.org/officeDocument/2006/relationships/hyperlink" Target="http://zakon5.rada.gov.ua/laws/show/679-2009-%D0%BF" TargetMode="External"/><Relationship Id="rId55" Type="http://schemas.openxmlformats.org/officeDocument/2006/relationships/hyperlink" Target="http://zakon5.rada.gov.ua/laws/show/13-2009-%D0%BF" TargetMode="External"/><Relationship Id="rId63" Type="http://schemas.openxmlformats.org/officeDocument/2006/relationships/hyperlink" Target="http://zakon5.rada.gov.ua/laws/show/856-2008-%D0%BF" TargetMode="External"/><Relationship Id="rId68" Type="http://schemas.openxmlformats.org/officeDocument/2006/relationships/hyperlink" Target="http://zakon5.rada.gov.ua/laws/show/641-2008-%D0%BF" TargetMode="External"/><Relationship Id="rId76" Type="http://schemas.openxmlformats.org/officeDocument/2006/relationships/fontTable" Target="fontTable.xml"/><Relationship Id="rId7" Type="http://schemas.openxmlformats.org/officeDocument/2006/relationships/hyperlink" Target="http://zakon5.rada.gov.ua/laws/show/1077-2015-%D0%BF" TargetMode="External"/><Relationship Id="rId71" Type="http://schemas.openxmlformats.org/officeDocument/2006/relationships/hyperlink" Target="http://zakon5.rada.gov.ua/laws/show/1382-2007-%D0%BF" TargetMode="External"/><Relationship Id="rId2" Type="http://schemas.openxmlformats.org/officeDocument/2006/relationships/styles" Target="styles.xml"/><Relationship Id="rId16" Type="http://schemas.openxmlformats.org/officeDocument/2006/relationships/hyperlink" Target="http://zakon5.rada.gov.ua/laws/show/528-2014-%D0%BF" TargetMode="External"/><Relationship Id="rId29" Type="http://schemas.openxmlformats.org/officeDocument/2006/relationships/hyperlink" Target="http://zakon5.rada.gov.ua/laws/show/1368-2011-%D0%BF" TargetMode="External"/><Relationship Id="rId11" Type="http://schemas.openxmlformats.org/officeDocument/2006/relationships/hyperlink" Target="http://zakon5.rada.gov.ua/laws/show/514-2015-%D0%BF" TargetMode="External"/><Relationship Id="rId24" Type="http://schemas.openxmlformats.org/officeDocument/2006/relationships/hyperlink" Target="http://zakon5.rada.gov.ua/laws/show/643-2013-%D0%BF" TargetMode="External"/><Relationship Id="rId32" Type="http://schemas.openxmlformats.org/officeDocument/2006/relationships/hyperlink" Target="http://zakon5.rada.gov.ua/laws/show/777-2011-%D0%BF" TargetMode="External"/><Relationship Id="rId37" Type="http://schemas.openxmlformats.org/officeDocument/2006/relationships/hyperlink" Target="http://zakon5.rada.gov.ua/laws/show/108-2011-%D0%BF" TargetMode="External"/><Relationship Id="rId40" Type="http://schemas.openxmlformats.org/officeDocument/2006/relationships/hyperlink" Target="http://zakon5.rada.gov.ua/laws/show/35%D0%B0-2011-%D0%BF" TargetMode="External"/><Relationship Id="rId45" Type="http://schemas.openxmlformats.org/officeDocument/2006/relationships/hyperlink" Target="http://zakon5.rada.gov.ua/laws/show/1262%D0%B0-2009-%D0%BF" TargetMode="External"/><Relationship Id="rId53" Type="http://schemas.openxmlformats.org/officeDocument/2006/relationships/hyperlink" Target="http://zakon5.rada.gov.ua/laws/show/268-2009-%D0%BF" TargetMode="External"/><Relationship Id="rId58" Type="http://schemas.openxmlformats.org/officeDocument/2006/relationships/hyperlink" Target="http://zakon5.rada.gov.ua/laws/show/1057-2008-%D0%BF" TargetMode="External"/><Relationship Id="rId66" Type="http://schemas.openxmlformats.org/officeDocument/2006/relationships/hyperlink" Target="http://zakon5.rada.gov.ua/laws/show/748-2008-%D0%BF" TargetMode="External"/><Relationship Id="rId74" Type="http://schemas.openxmlformats.org/officeDocument/2006/relationships/hyperlink" Target="http://zakon5.rada.gov.ua/laws/show/1764-2006-%D0%BF" TargetMode="External"/><Relationship Id="rId5" Type="http://schemas.openxmlformats.org/officeDocument/2006/relationships/webSettings" Target="webSettings.xml"/><Relationship Id="rId15" Type="http://schemas.openxmlformats.org/officeDocument/2006/relationships/hyperlink" Target="http://zakon5.rada.gov.ua/laws/show/65-2015-%D0%BF" TargetMode="External"/><Relationship Id="rId23" Type="http://schemas.openxmlformats.org/officeDocument/2006/relationships/hyperlink" Target="http://zakon5.rada.gov.ua/laws/show/494-2013-%D0%BF" TargetMode="External"/><Relationship Id="rId28" Type="http://schemas.openxmlformats.org/officeDocument/2006/relationships/hyperlink" Target="http://zakon5.rada.gov.ua/laws/show/1368%D0%B0-2011-%D0%BF" TargetMode="External"/><Relationship Id="rId36" Type="http://schemas.openxmlformats.org/officeDocument/2006/relationships/hyperlink" Target="http://zakon5.rada.gov.ua/laws/show/108%D0%B0-2011-%D0%BF" TargetMode="External"/><Relationship Id="rId49" Type="http://schemas.openxmlformats.org/officeDocument/2006/relationships/hyperlink" Target="http://zakon5.rada.gov.ua/laws/show/785-2009-%D0%BF" TargetMode="External"/><Relationship Id="rId57" Type="http://schemas.openxmlformats.org/officeDocument/2006/relationships/hyperlink" Target="http://zakon5.rada.gov.ua/laws/show/1144-2008-%D0%BF" TargetMode="External"/><Relationship Id="rId61" Type="http://schemas.openxmlformats.org/officeDocument/2006/relationships/hyperlink" Target="http://zakon5.rada.gov.ua/laws/show/901-2008-%D0%BF" TargetMode="External"/><Relationship Id="rId10" Type="http://schemas.openxmlformats.org/officeDocument/2006/relationships/hyperlink" Target="http://zakon5.rada.gov.ua/laws/show/607-2015-%D0%BF" TargetMode="External"/><Relationship Id="rId19" Type="http://schemas.openxmlformats.org/officeDocument/2006/relationships/hyperlink" Target="http://zakon5.rada.gov.ua/laws/show/755-2013-%D0%BF" TargetMode="External"/><Relationship Id="rId31" Type="http://schemas.openxmlformats.org/officeDocument/2006/relationships/hyperlink" Target="http://zakon5.rada.gov.ua/laws/show/839-2011-%D0%BF" TargetMode="External"/><Relationship Id="rId44" Type="http://schemas.openxmlformats.org/officeDocument/2006/relationships/hyperlink" Target="http://zakon5.rada.gov.ua/laws/show/5-2010-%D0%BF" TargetMode="External"/><Relationship Id="rId52" Type="http://schemas.openxmlformats.org/officeDocument/2006/relationships/hyperlink" Target="http://zakon5.rada.gov.ua/laws/show/332-2009-%D0%BF" TargetMode="External"/><Relationship Id="rId60" Type="http://schemas.openxmlformats.org/officeDocument/2006/relationships/hyperlink" Target="http://zakon5.rada.gov.ua/laws/show/967-2008-%D0%BF" TargetMode="External"/><Relationship Id="rId65" Type="http://schemas.openxmlformats.org/officeDocument/2006/relationships/hyperlink" Target="http://zakon5.rada.gov.ua/laws/show/761-2008-%D0%BF" TargetMode="External"/><Relationship Id="rId73" Type="http://schemas.openxmlformats.org/officeDocument/2006/relationships/hyperlink" Target="http://zakon5.rada.gov.ua/laws/show/939-2007-%D0%BF" TargetMode="External"/><Relationship Id="rId4" Type="http://schemas.openxmlformats.org/officeDocument/2006/relationships/settings" Target="settings.xml"/><Relationship Id="rId9" Type="http://schemas.openxmlformats.org/officeDocument/2006/relationships/hyperlink" Target="http://zakon5.rada.gov.ua/laws/show/1067-2015-%D0%BF" TargetMode="External"/><Relationship Id="rId14" Type="http://schemas.openxmlformats.org/officeDocument/2006/relationships/hyperlink" Target="http://zakon5.rada.gov.ua/laws/show/181-2015-%D0%BF" TargetMode="External"/><Relationship Id="rId22" Type="http://schemas.openxmlformats.org/officeDocument/2006/relationships/hyperlink" Target="http://zakon5.rada.gov.ua/laws/show/515-2013-%D0%BF" TargetMode="External"/><Relationship Id="rId27" Type="http://schemas.openxmlformats.org/officeDocument/2006/relationships/image" Target="media/image2.gif"/><Relationship Id="rId30" Type="http://schemas.openxmlformats.org/officeDocument/2006/relationships/hyperlink" Target="http://zakon5.rada.gov.ua/laws/show/1147-2011-%D0%BF" TargetMode="External"/><Relationship Id="rId35" Type="http://schemas.openxmlformats.org/officeDocument/2006/relationships/hyperlink" Target="http://zakon5.rada.gov.ua/laws/show/529-2011-%D0%BF" TargetMode="External"/><Relationship Id="rId43" Type="http://schemas.openxmlformats.org/officeDocument/2006/relationships/hyperlink" Target="http://zakon5.rada.gov.ua/laws/show/193-2010-%D0%BF" TargetMode="External"/><Relationship Id="rId48" Type="http://schemas.openxmlformats.org/officeDocument/2006/relationships/hyperlink" Target="http://zakon5.rada.gov.ua/laws/show/1076-2009-%D0%BF" TargetMode="External"/><Relationship Id="rId56" Type="http://schemas.openxmlformats.org/officeDocument/2006/relationships/hyperlink" Target="http://zakon5.rada.gov.ua/laws/show/1144%D0%B0-2008-%D0%BF" TargetMode="External"/><Relationship Id="rId64" Type="http://schemas.openxmlformats.org/officeDocument/2006/relationships/hyperlink" Target="http://zakon5.rada.gov.ua/laws/show/787-2008-%D0%BF" TargetMode="External"/><Relationship Id="rId69" Type="http://schemas.openxmlformats.org/officeDocument/2006/relationships/hyperlink" Target="http://zakon5.rada.gov.ua/laws/show/621-2008-%D0%BF" TargetMode="External"/><Relationship Id="rId77" Type="http://schemas.openxmlformats.org/officeDocument/2006/relationships/theme" Target="theme/theme1.xml"/><Relationship Id="rId8" Type="http://schemas.openxmlformats.org/officeDocument/2006/relationships/hyperlink" Target="http://zakon5.rada.gov.ua/laws/show/1062-2015-%D0%BF" TargetMode="External"/><Relationship Id="rId51" Type="http://schemas.openxmlformats.org/officeDocument/2006/relationships/hyperlink" Target="http://zakon5.rada.gov.ua/laws/show/465-2009-%D0%BF" TargetMode="External"/><Relationship Id="rId72" Type="http://schemas.openxmlformats.org/officeDocument/2006/relationships/hyperlink" Target="http://zakon5.rada.gov.ua/laws/show/1103-2007-%D0%BF" TargetMode="External"/><Relationship Id="rId3" Type="http://schemas.microsoft.com/office/2007/relationships/stylesWithEffects" Target="stylesWithEffects.xml"/><Relationship Id="rId12" Type="http://schemas.openxmlformats.org/officeDocument/2006/relationships/hyperlink" Target="http://zakon5.rada.gov.ua/laws/show/391-2015-%D0%BF" TargetMode="External"/><Relationship Id="rId17" Type="http://schemas.openxmlformats.org/officeDocument/2006/relationships/hyperlink" Target="http://zakon5.rada.gov.ua/laws/show/253-2014-%D0%BF" TargetMode="External"/><Relationship Id="rId25" Type="http://schemas.openxmlformats.org/officeDocument/2006/relationships/hyperlink" Target="http://zakon5.rada.gov.ua/laws/show/62-2013-%D0%BF" TargetMode="External"/><Relationship Id="rId33" Type="http://schemas.openxmlformats.org/officeDocument/2006/relationships/hyperlink" Target="http://zakon5.rada.gov.ua/laws/show/632%D0%B0-2011-%D0%BF" TargetMode="External"/><Relationship Id="rId38" Type="http://schemas.openxmlformats.org/officeDocument/2006/relationships/hyperlink" Target="http://zakon5.rada.gov.ua/laws/show/107%D0%B0-2011-%D0%BF" TargetMode="External"/><Relationship Id="rId46" Type="http://schemas.openxmlformats.org/officeDocument/2006/relationships/hyperlink" Target="http://zakon5.rada.gov.ua/laws/show/1262-2009-%D0%BF" TargetMode="External"/><Relationship Id="rId59" Type="http://schemas.openxmlformats.org/officeDocument/2006/relationships/hyperlink" Target="http://zakon5.rada.gov.ua/laws/show/967%D0%B0-2008-%D0%BF" TargetMode="External"/><Relationship Id="rId67" Type="http://schemas.openxmlformats.org/officeDocument/2006/relationships/hyperlink" Target="http://zakon5.rada.gov.ua/laws/show/717-2008-%D0%BF" TargetMode="External"/><Relationship Id="rId20" Type="http://schemas.openxmlformats.org/officeDocument/2006/relationships/hyperlink" Target="http://zakon5.rada.gov.ua/laws/show/754-2013-%D0%BF" TargetMode="External"/><Relationship Id="rId41" Type="http://schemas.openxmlformats.org/officeDocument/2006/relationships/hyperlink" Target="http://zakon5.rada.gov.ua/laws/show/35-2011-%D0%BF" TargetMode="External"/><Relationship Id="rId54" Type="http://schemas.openxmlformats.org/officeDocument/2006/relationships/hyperlink" Target="http://zakon5.rada.gov.ua/laws/show/190-2009-%D0%BF" TargetMode="External"/><Relationship Id="rId62" Type="http://schemas.openxmlformats.org/officeDocument/2006/relationships/hyperlink" Target="http://zakon5.rada.gov.ua/laws/show/898-2008-%D0%BF" TargetMode="External"/><Relationship Id="rId70" Type="http://schemas.openxmlformats.org/officeDocument/2006/relationships/hyperlink" Target="http://zakon5.rada.gov.ua/laws/show/536-2008-%D0%BF" TargetMode="External"/><Relationship Id="rId75" Type="http://schemas.openxmlformats.org/officeDocument/2006/relationships/hyperlink" Target="http://zakon5.rada.gov.ua/laws/show/1585-2003-%D0%BF"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12426</Words>
  <Characters>7084</Characters>
  <Application>Microsoft Office Word</Application>
  <DocSecurity>0</DocSecurity>
  <Lines>59</Lines>
  <Paragraphs>38</Paragraphs>
  <ScaleCrop>false</ScaleCrop>
  <Company>HP</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Papazov</dc:creator>
  <cp:lastModifiedBy>Papazov</cp:lastModifiedBy>
  <cp:revision>2</cp:revision>
  <dcterms:created xsi:type="dcterms:W3CDTF">2016-01-10T21:15:00Z</dcterms:created>
  <dcterms:modified xsi:type="dcterms:W3CDTF">2016-01-10T21:21:00Z</dcterms:modified>
</cp:coreProperties>
</file>